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111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70"/>
        <w:gridCol w:w="9075"/>
      </w:tblGrid>
      <w:tr w:rsidR="00CF34FB" w14:paraId="2E5B2FB0" w14:textId="77777777" w:rsidTr="008F5F0C">
        <w:trPr>
          <w:jc w:val="center"/>
        </w:trPr>
        <w:tc>
          <w:tcPr>
            <w:tcW w:w="11145" w:type="dxa"/>
            <w:gridSpan w:val="2"/>
          </w:tcPr>
          <w:p w14:paraId="07CC5EF8" w14:textId="77777777" w:rsidR="00CF34FB" w:rsidRPr="00CF34FB" w:rsidRDefault="00CF34FB" w:rsidP="00CF34FB">
            <w:pPr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drawing>
                <wp:inline distT="0" distB="0" distL="0" distR="0" wp14:anchorId="429C4792" wp14:editId="655B0C60">
                  <wp:extent cx="1369060" cy="733499"/>
                  <wp:effectExtent l="0" t="0" r="254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560" cy="765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640166" w14:textId="77777777" w:rsidR="00CF34FB" w:rsidRPr="008F5F0C" w:rsidRDefault="00CF34FB" w:rsidP="00CF34FB">
            <w:pPr>
              <w:jc w:val="center"/>
              <w:rPr>
                <w:rFonts w:ascii="Open Sans" w:hAnsi="Open Sans"/>
                <w:b/>
                <w:bCs/>
              </w:rPr>
            </w:pPr>
            <w:r w:rsidRPr="008F5F0C">
              <w:rPr>
                <w:rFonts w:ascii="Open Sans" w:hAnsi="Open Sans"/>
                <w:b/>
                <w:bCs/>
              </w:rPr>
              <w:t>Hungary-Slovakia-Romania-Ukraine</w:t>
            </w:r>
          </w:p>
          <w:p w14:paraId="05966D77" w14:textId="4932D9A9" w:rsidR="00CF34FB" w:rsidRPr="008F5F0C" w:rsidRDefault="007344C5" w:rsidP="00CF34FB">
            <w:pPr>
              <w:jc w:val="center"/>
              <w:rPr>
                <w:rFonts w:ascii="Open Sans" w:hAnsi="Open Sans"/>
              </w:rPr>
            </w:pPr>
            <w:r w:rsidRPr="008F5F0C">
              <w:rPr>
                <w:rFonts w:ascii="Open Sans" w:hAnsi="Open Sans"/>
              </w:rPr>
              <w:t xml:space="preserve">European </w:t>
            </w:r>
            <w:proofErr w:type="spellStart"/>
            <w:r w:rsidRPr="008F5F0C">
              <w:rPr>
                <w:rFonts w:ascii="Open Sans" w:hAnsi="Open Sans"/>
              </w:rPr>
              <w:t>Neighbourhood</w:t>
            </w:r>
            <w:proofErr w:type="spellEnd"/>
            <w:r w:rsidRPr="008F5F0C">
              <w:rPr>
                <w:rFonts w:ascii="Open Sans" w:hAnsi="Open Sans"/>
              </w:rPr>
              <w:t xml:space="preserve"> Instrument</w:t>
            </w:r>
            <w:r w:rsidR="00CF34FB" w:rsidRPr="008F5F0C">
              <w:rPr>
                <w:rFonts w:ascii="Open Sans" w:hAnsi="Open Sans"/>
              </w:rPr>
              <w:t xml:space="preserve"> Cross-border Cooperation </w:t>
            </w:r>
            <w:proofErr w:type="spellStart"/>
            <w:r w:rsidR="00CF34FB" w:rsidRPr="008F5F0C">
              <w:rPr>
                <w:rFonts w:ascii="Open Sans" w:hAnsi="Open Sans"/>
              </w:rPr>
              <w:t>Programme</w:t>
            </w:r>
            <w:proofErr w:type="spellEnd"/>
            <w:r w:rsidR="00CF34FB" w:rsidRPr="008F5F0C">
              <w:rPr>
                <w:rFonts w:ascii="Open Sans" w:hAnsi="Open Sans"/>
              </w:rPr>
              <w:t xml:space="preserve"> </w:t>
            </w:r>
          </w:p>
          <w:p w14:paraId="76F225AD" w14:textId="77777777" w:rsidR="00CF34FB" w:rsidRPr="008F5F0C" w:rsidRDefault="00CF34FB" w:rsidP="008F5F0C">
            <w:pPr>
              <w:spacing w:after="120"/>
              <w:jc w:val="center"/>
              <w:rPr>
                <w:rFonts w:ascii="Open Sans" w:hAnsi="Open Sans"/>
              </w:rPr>
            </w:pPr>
            <w:r w:rsidRPr="008F5F0C">
              <w:rPr>
                <w:rFonts w:ascii="Open Sans" w:hAnsi="Open Sans"/>
              </w:rPr>
              <w:t>2014-2020</w:t>
            </w:r>
          </w:p>
          <w:p w14:paraId="5A137A83" w14:textId="77777777" w:rsidR="0075713B" w:rsidRPr="008F5F0C" w:rsidRDefault="0075713B" w:rsidP="0075713B">
            <w:pPr>
              <w:ind w:right="275"/>
              <w:jc w:val="center"/>
              <w:rPr>
                <w:rFonts w:ascii="Open Sans" w:eastAsia="Times New Roman" w:hAnsi="Open Sans" w:cs="Arial"/>
                <w:b/>
              </w:rPr>
            </w:pPr>
            <w:proofErr w:type="spellStart"/>
            <w:r w:rsidRPr="008F5F0C">
              <w:rPr>
                <w:rFonts w:ascii="Open Sans" w:eastAsia="Times New Roman" w:hAnsi="Open Sans" w:cs="Arial"/>
                <w:b/>
              </w:rPr>
              <w:t>Primăria</w:t>
            </w:r>
            <w:proofErr w:type="spellEnd"/>
            <w:r w:rsidRPr="008F5F0C">
              <w:rPr>
                <w:rFonts w:ascii="Open Sans" w:eastAsia="Times New Roman" w:hAnsi="Open Sans" w:cs="Arial"/>
                <w:b/>
              </w:rPr>
              <w:t xml:space="preserve"> </w:t>
            </w:r>
            <w:proofErr w:type="spellStart"/>
            <w:r w:rsidRPr="008F5F0C">
              <w:rPr>
                <w:rFonts w:ascii="Open Sans" w:eastAsia="Times New Roman" w:hAnsi="Open Sans" w:cs="Arial"/>
                <w:b/>
              </w:rPr>
              <w:t>comunei</w:t>
            </w:r>
            <w:proofErr w:type="spellEnd"/>
            <w:r w:rsidRPr="008F5F0C">
              <w:rPr>
                <w:rFonts w:ascii="Open Sans" w:eastAsia="Times New Roman" w:hAnsi="Open Sans" w:cs="Arial"/>
                <w:b/>
              </w:rPr>
              <w:t xml:space="preserve"> </w:t>
            </w:r>
            <w:proofErr w:type="spellStart"/>
            <w:r w:rsidRPr="008F5F0C">
              <w:rPr>
                <w:rFonts w:ascii="Open Sans" w:eastAsia="Times New Roman" w:hAnsi="Open Sans" w:cs="Arial"/>
                <w:b/>
              </w:rPr>
              <w:t>Moftin</w:t>
            </w:r>
            <w:proofErr w:type="spellEnd"/>
          </w:p>
          <w:p w14:paraId="384FE2C9" w14:textId="77777777" w:rsidR="0075713B" w:rsidRPr="008F5F0C" w:rsidRDefault="0075713B" w:rsidP="0075713B">
            <w:pPr>
              <w:jc w:val="center"/>
              <w:rPr>
                <w:rFonts w:ascii="Open Sans" w:eastAsia="Times New Roman" w:hAnsi="Open Sans" w:cs="Arial"/>
                <w:b/>
                <w:bCs/>
              </w:rPr>
            </w:pPr>
            <w:proofErr w:type="spellStart"/>
            <w:r w:rsidRPr="008F5F0C">
              <w:rPr>
                <w:rFonts w:ascii="Open Sans" w:eastAsia="Times New Roman" w:hAnsi="Open Sans" w:cs="Arial"/>
                <w:b/>
              </w:rPr>
              <w:t>beneficiază</w:t>
            </w:r>
            <w:proofErr w:type="spellEnd"/>
            <w:r w:rsidRPr="008F5F0C">
              <w:rPr>
                <w:rFonts w:ascii="Open Sans" w:eastAsia="Times New Roman" w:hAnsi="Open Sans" w:cs="Arial"/>
                <w:b/>
              </w:rPr>
              <w:t xml:space="preserve"> de </w:t>
            </w:r>
            <w:proofErr w:type="spellStart"/>
            <w:r w:rsidRPr="008F5F0C">
              <w:rPr>
                <w:rFonts w:ascii="Open Sans" w:eastAsia="Times New Roman" w:hAnsi="Open Sans" w:cs="Arial"/>
                <w:b/>
              </w:rPr>
              <w:t>fonduri</w:t>
            </w:r>
            <w:proofErr w:type="spellEnd"/>
            <w:r w:rsidRPr="008F5F0C">
              <w:rPr>
                <w:rFonts w:ascii="Open Sans" w:eastAsia="Times New Roman" w:hAnsi="Open Sans" w:cs="Arial"/>
                <w:b/>
              </w:rPr>
              <w:t xml:space="preserve"> </w:t>
            </w:r>
            <w:proofErr w:type="spellStart"/>
            <w:r w:rsidRPr="008F5F0C">
              <w:rPr>
                <w:rFonts w:ascii="Open Sans" w:eastAsia="Times New Roman" w:hAnsi="Open Sans" w:cs="Arial"/>
                <w:b/>
              </w:rPr>
              <w:t>europene</w:t>
            </w:r>
            <w:proofErr w:type="spellEnd"/>
            <w:r w:rsidRPr="008F5F0C">
              <w:rPr>
                <w:rFonts w:ascii="Open Sans" w:eastAsia="Times New Roman" w:hAnsi="Open Sans" w:cs="Arial"/>
                <w:b/>
              </w:rPr>
              <w:t xml:space="preserve"> </w:t>
            </w:r>
            <w:proofErr w:type="spellStart"/>
            <w:r w:rsidRPr="008F5F0C">
              <w:rPr>
                <w:rFonts w:ascii="Open Sans" w:eastAsia="Times New Roman" w:hAnsi="Open Sans" w:cs="Arial"/>
                <w:b/>
              </w:rPr>
              <w:t>pentru</w:t>
            </w:r>
            <w:proofErr w:type="spellEnd"/>
            <w:r w:rsidRPr="008F5F0C">
              <w:rPr>
                <w:rFonts w:ascii="Open Sans" w:eastAsia="Times New Roman" w:hAnsi="Open Sans" w:cs="Arial"/>
                <w:b/>
              </w:rPr>
              <w:t xml:space="preserve"> </w:t>
            </w:r>
            <w:proofErr w:type="spellStart"/>
            <w:r w:rsidRPr="008F5F0C">
              <w:rPr>
                <w:rFonts w:ascii="Open Sans" w:eastAsia="Times New Roman" w:hAnsi="Open Sans" w:cs="Arial"/>
                <w:b/>
              </w:rPr>
              <w:t>implementarea</w:t>
            </w:r>
            <w:proofErr w:type="spellEnd"/>
            <w:r w:rsidRPr="008F5F0C">
              <w:rPr>
                <w:rFonts w:ascii="Open Sans" w:eastAsia="Times New Roman" w:hAnsi="Open Sans" w:cs="Arial"/>
                <w:b/>
              </w:rPr>
              <w:t xml:space="preserve"> </w:t>
            </w:r>
            <w:proofErr w:type="spellStart"/>
            <w:proofErr w:type="gramStart"/>
            <w:r w:rsidRPr="008F5F0C">
              <w:rPr>
                <w:rFonts w:ascii="Open Sans" w:eastAsia="Times New Roman" w:hAnsi="Open Sans" w:cs="Arial"/>
                <w:b/>
              </w:rPr>
              <w:t>proiectului</w:t>
            </w:r>
            <w:proofErr w:type="spellEnd"/>
            <w:r w:rsidRPr="008F5F0C">
              <w:rPr>
                <w:rFonts w:ascii="Open Sans" w:hAnsi="Open Sans" w:cs="Arial"/>
                <w:b/>
              </w:rPr>
              <w:t xml:space="preserve"> ,,</w:t>
            </w:r>
            <w:r w:rsidRPr="008F5F0C">
              <w:rPr>
                <w:rFonts w:ascii="Open Sans" w:eastAsia="Times New Roman" w:hAnsi="Open Sans" w:cs="Arial"/>
                <w:b/>
                <w:bCs/>
              </w:rPr>
              <w:t>Cross</w:t>
            </w:r>
            <w:proofErr w:type="gramEnd"/>
            <w:r w:rsidRPr="008F5F0C">
              <w:rPr>
                <w:rFonts w:ascii="Open Sans" w:eastAsia="Times New Roman" w:hAnsi="Open Sans" w:cs="Arial"/>
                <w:b/>
                <w:bCs/>
              </w:rPr>
              <w:t>-border harmonized response to risks and disasters” – HUSKROUA/1901/8.1/0089</w:t>
            </w:r>
          </w:p>
          <w:p w14:paraId="6BBC01C6" w14:textId="77777777" w:rsidR="0075713B" w:rsidRPr="001F6EC6" w:rsidRDefault="0075713B" w:rsidP="0075713B">
            <w:pPr>
              <w:rPr>
                <w:rFonts w:ascii="Open Sans" w:eastAsia="Times New Roman" w:hAnsi="Open Sans" w:cs="Arial"/>
                <w:bCs/>
              </w:rPr>
            </w:pPr>
          </w:p>
          <w:p w14:paraId="269CF115" w14:textId="77777777" w:rsidR="0075713B" w:rsidRPr="007344C5" w:rsidRDefault="0075713B" w:rsidP="0075713B">
            <w:pPr>
              <w:jc w:val="both"/>
              <w:rPr>
                <w:rFonts w:ascii="Open Sans" w:hAnsi="Open Sans" w:cs="Arial"/>
                <w:bCs/>
                <w:sz w:val="20"/>
                <w:szCs w:val="20"/>
              </w:rPr>
            </w:pPr>
            <w:r w:rsidRPr="001F6EC6">
              <w:rPr>
                <w:rFonts w:ascii="Open Sans" w:eastAsia="Times New Roman" w:hAnsi="Open Sans" w:cs="Arial"/>
                <w:bCs/>
              </w:rPr>
              <w:tab/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Prin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intermediul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acestui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proiect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344C5">
              <w:rPr>
                <w:rFonts w:ascii="Open Sans" w:eastAsia="Times New Roman" w:hAnsi="Open Sans" w:cs="Arial"/>
                <w:b/>
                <w:bCs/>
                <w:sz w:val="20"/>
                <w:szCs w:val="20"/>
              </w:rPr>
              <w:t>Primăria</w:t>
            </w:r>
            <w:proofErr w:type="spellEnd"/>
            <w:r w:rsidRPr="007344C5">
              <w:rPr>
                <w:rFonts w:ascii="Open Sans" w:eastAsia="Times New Roman" w:hAnsi="Open San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/>
                <w:bCs/>
                <w:sz w:val="20"/>
                <w:szCs w:val="20"/>
              </w:rPr>
              <w:t>comunei</w:t>
            </w:r>
            <w:proofErr w:type="spellEnd"/>
            <w:r w:rsidRPr="007344C5">
              <w:rPr>
                <w:rFonts w:ascii="Open Sans" w:eastAsia="Times New Roman" w:hAnsi="Open San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/>
                <w:bCs/>
                <w:sz w:val="20"/>
                <w:szCs w:val="20"/>
              </w:rPr>
              <w:t>Moftin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în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colaborare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cu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partenerii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proiect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Primăria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orașului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Vásárosnamény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din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Ungaria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și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Primăria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orașului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Vyshkovo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din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Ucraina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urmărește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să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își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îmbunătățească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capacitatea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acțiune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în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domeniul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situațiilor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urgență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.</w:t>
            </w:r>
          </w:p>
          <w:p w14:paraId="6DD978AF" w14:textId="77777777" w:rsidR="0075713B" w:rsidRPr="007344C5" w:rsidRDefault="0075713B" w:rsidP="0075713B">
            <w:pPr>
              <w:shd w:val="clear" w:color="auto" w:fill="FFFFFF"/>
              <w:jc w:val="both"/>
              <w:rPr>
                <w:rFonts w:ascii="Open Sans" w:eastAsia="Times New Roman" w:hAnsi="Open Sans" w:cs="Arial"/>
                <w:sz w:val="20"/>
                <w:szCs w:val="20"/>
              </w:rPr>
            </w:pPr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ab/>
            </w:r>
            <w:proofErr w:type="spellStart"/>
            <w:r w:rsidRPr="007344C5">
              <w:rPr>
                <w:rFonts w:ascii="Open Sans" w:eastAsia="Times New Roman" w:hAnsi="Open Sans" w:cs="Arial"/>
                <w:i/>
                <w:iCs/>
                <w:sz w:val="20"/>
                <w:szCs w:val="20"/>
              </w:rPr>
              <w:t>Obiectivul</w:t>
            </w:r>
            <w:proofErr w:type="spellEnd"/>
            <w:r w:rsidRPr="007344C5">
              <w:rPr>
                <w:rFonts w:ascii="Open Sans" w:eastAsia="Times New Roman" w:hAnsi="Open Sans" w:cs="Arial"/>
                <w:i/>
                <w:iCs/>
                <w:sz w:val="20"/>
                <w:szCs w:val="20"/>
              </w:rPr>
              <w:t xml:space="preserve"> general</w:t>
            </w:r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al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proiectului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este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generarea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și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dezvoltarea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unui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mecanism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operațional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transfrontalier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pentru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coordonarea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comunităților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în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caz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de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dezastre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naturale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sau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provocate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de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om.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Partenerii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își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propun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să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sporească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nivelul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de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siguranță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umană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al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populațiilor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din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regiunea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transfrontalieră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și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,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astfel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,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să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reducă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costurile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sociale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,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economice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și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de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mediu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ale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dezastrelor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naturale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de pe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acest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teritoriu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. </w:t>
            </w:r>
          </w:p>
          <w:p w14:paraId="4AF7CB68" w14:textId="77777777" w:rsidR="0075713B" w:rsidRPr="007344C5" w:rsidRDefault="0075713B" w:rsidP="0075713B">
            <w:pPr>
              <w:shd w:val="clear" w:color="auto" w:fill="FFFFFF"/>
              <w:jc w:val="both"/>
              <w:rPr>
                <w:rFonts w:ascii="Open Sans" w:eastAsia="Times New Roman" w:hAnsi="Open Sans" w:cs="Arial"/>
                <w:color w:val="FF0000"/>
                <w:sz w:val="20"/>
                <w:szCs w:val="20"/>
              </w:rPr>
            </w:pPr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           </w:t>
            </w:r>
            <w:proofErr w:type="spellStart"/>
            <w:r w:rsidRPr="007344C5">
              <w:rPr>
                <w:rFonts w:ascii="Open Sans" w:eastAsia="Times New Roman" w:hAnsi="Open Sans" w:cs="Arial"/>
                <w:i/>
                <w:iCs/>
                <w:sz w:val="20"/>
                <w:szCs w:val="20"/>
              </w:rPr>
              <w:t>Obiectivele</w:t>
            </w:r>
            <w:proofErr w:type="spellEnd"/>
            <w:r w:rsidRPr="007344C5">
              <w:rPr>
                <w:rFonts w:ascii="Open Sans" w:eastAsia="Times New Roman" w:hAnsi="Open San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i/>
                <w:iCs/>
                <w:sz w:val="20"/>
                <w:szCs w:val="20"/>
              </w:rPr>
              <w:t>specifice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ale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proiectului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sunt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următoarele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: 1.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Îmbunătățirea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pregătirii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și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capacității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de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răspuns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și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a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calității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infrastructurii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pentru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părțile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interesate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locale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și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transfrontaliere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în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caz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de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dezastre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. 2.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Consolidarea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relației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de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cooperare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între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instituțiile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transfrontaliere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și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părțile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interesate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pe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tema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prevenirii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și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gestionării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riscurilor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și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dezastrelor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. 3.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Crearea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unei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„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culturi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a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siguranței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”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în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zona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transfrontalieră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,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în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care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conștientizarea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riscului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și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adoptarea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măsurilor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de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reducere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a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riscurilor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fac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parte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din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viața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de zi cu zi a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comunităților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noastre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.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Sensibilizarea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și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educația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publică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sunt, de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asemenea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, un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obiectiv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cheie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al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acestui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proiect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. O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parte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din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activitățile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propuse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prin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acest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proiect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vizează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promovarea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schimbării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comportamentale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în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rândul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comunităților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țintă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.</w:t>
            </w:r>
          </w:p>
          <w:p w14:paraId="1F433C1C" w14:textId="77777777" w:rsidR="0075713B" w:rsidRPr="007344C5" w:rsidRDefault="0075713B" w:rsidP="0075713B">
            <w:pPr>
              <w:ind w:firstLine="567"/>
              <w:jc w:val="both"/>
              <w:rPr>
                <w:rFonts w:ascii="Open Sans" w:eastAsia="Times New Roman" w:hAnsi="Open Sans" w:cs="Arial"/>
                <w:bCs/>
                <w:sz w:val="20"/>
                <w:szCs w:val="20"/>
              </w:rPr>
            </w:pP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Proiectul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a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fost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depus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spre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finanțare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către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Primăria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comunei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Moftin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în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colaborare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cu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partenerii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proiect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în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februarie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2020,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în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cadrul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/>
                <w:bCs/>
                <w:sz w:val="20"/>
                <w:szCs w:val="20"/>
              </w:rPr>
              <w:t>Programului</w:t>
            </w:r>
            <w:proofErr w:type="spellEnd"/>
            <w:r w:rsidRPr="007344C5">
              <w:rPr>
                <w:rFonts w:ascii="Open Sans" w:eastAsia="Times New Roman" w:hAnsi="Open Sans" w:cs="Arial"/>
                <w:b/>
                <w:bCs/>
                <w:sz w:val="20"/>
                <w:szCs w:val="20"/>
              </w:rPr>
              <w:t xml:space="preserve"> </w:t>
            </w:r>
            <w:r w:rsidRPr="007344C5">
              <w:rPr>
                <w:rFonts w:ascii="Open Sans" w:eastAsia="Times New Roman" w:hAnsi="Open Sans" w:cs="Arial"/>
                <w:b/>
                <w:bCs/>
                <w:sz w:val="20"/>
                <w:szCs w:val="20"/>
                <w:lang w:val="en-GB"/>
              </w:rPr>
              <w:t>HUSKROUA ENI CBC 2014-2020</w:t>
            </w:r>
            <w:r w:rsidRPr="007344C5">
              <w:rPr>
                <w:rFonts w:ascii="Open Sans" w:eastAsia="Times New Roman" w:hAnsi="Open Sans" w:cs="Arial"/>
                <w:b/>
                <w:bCs/>
                <w:sz w:val="20"/>
                <w:szCs w:val="20"/>
              </w:rPr>
              <w:t xml:space="preserve"> </w:t>
            </w:r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(</w:t>
            </w:r>
            <w:r w:rsidRPr="007344C5">
              <w:rPr>
                <w:rFonts w:ascii="Open Sans" w:eastAsia="Times New Roman" w:hAnsi="Open Sans" w:cs="Arial"/>
                <w:sz w:val="20"/>
                <w:szCs w:val="20"/>
                <w:lang w:val="en-GB"/>
              </w:rPr>
              <w:t>Joint Operational Programme Hungary-Slovakia-Romania-Ukraine, ENI CBC Programme</w:t>
            </w:r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).</w:t>
            </w:r>
          </w:p>
          <w:p w14:paraId="7165C427" w14:textId="77777777" w:rsidR="0075713B" w:rsidRPr="007344C5" w:rsidRDefault="0075713B" w:rsidP="0075713B">
            <w:pPr>
              <w:jc w:val="both"/>
              <w:rPr>
                <w:rFonts w:ascii="Open Sans" w:eastAsia="Times New Roman" w:hAnsi="Open Sans" w:cs="Arial"/>
                <w:sz w:val="20"/>
                <w:szCs w:val="20"/>
              </w:rPr>
            </w:pPr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ab/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Durata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implementare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a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proiectului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este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de 20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luni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(1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iunie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2021 – 31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ianuarie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2023).</w:t>
            </w:r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</w:p>
          <w:p w14:paraId="6822FF08" w14:textId="77777777" w:rsidR="0075713B" w:rsidRPr="007344C5" w:rsidRDefault="0075713B" w:rsidP="0075713B">
            <w:pPr>
              <w:jc w:val="both"/>
              <w:rPr>
                <w:rFonts w:ascii="Open Sans" w:eastAsia="Times New Roman" w:hAnsi="Open Sans" w:cs="Arial"/>
                <w:bCs/>
                <w:sz w:val="20"/>
                <w:szCs w:val="20"/>
              </w:rPr>
            </w:pPr>
            <w:r w:rsidRPr="007344C5">
              <w:rPr>
                <w:rFonts w:ascii="Open Sans" w:eastAsia="Times New Roman" w:hAnsi="Open Sans" w:cs="Arial"/>
                <w:bCs/>
                <w:i/>
                <w:iCs/>
                <w:sz w:val="20"/>
                <w:szCs w:val="20"/>
              </w:rPr>
              <w:t xml:space="preserve">           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i/>
                <w:iCs/>
                <w:sz w:val="20"/>
                <w:szCs w:val="20"/>
              </w:rPr>
              <w:t>Bugetul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i/>
                <w:iCs/>
                <w:sz w:val="20"/>
                <w:szCs w:val="20"/>
              </w:rPr>
              <w:t xml:space="preserve"> total al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i/>
                <w:iCs/>
                <w:sz w:val="20"/>
                <w:szCs w:val="20"/>
              </w:rPr>
              <w:t>proiectului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i/>
                <w:iCs/>
                <w:sz w:val="20"/>
                <w:szCs w:val="20"/>
              </w:rPr>
              <w:t>este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i/>
                <w:iCs/>
                <w:sz w:val="20"/>
                <w:szCs w:val="20"/>
              </w:rPr>
              <w:t xml:space="preserve"> de </w:t>
            </w:r>
            <w:r w:rsidRPr="007344C5">
              <w:rPr>
                <w:rFonts w:ascii="Open Sans" w:hAnsi="Open Sans" w:cs="Arial"/>
                <w:bCs/>
                <w:i/>
                <w:iCs/>
                <w:sz w:val="20"/>
                <w:szCs w:val="20"/>
              </w:rPr>
              <w:t xml:space="preserve">613.354,65 </w:t>
            </w:r>
            <w:r w:rsidRPr="007344C5">
              <w:rPr>
                <w:rFonts w:ascii="Open Sans" w:eastAsia="Times New Roman" w:hAnsi="Open Sans" w:cs="Arial"/>
                <w:bCs/>
                <w:i/>
                <w:iCs/>
                <w:sz w:val="20"/>
                <w:szCs w:val="20"/>
              </w:rPr>
              <w:t xml:space="preserve">Euro, din care </w:t>
            </w:r>
            <w:r w:rsidRPr="007344C5">
              <w:rPr>
                <w:rFonts w:ascii="Open Sans" w:hAnsi="Open Sans" w:cs="Arial"/>
                <w:i/>
                <w:iCs/>
                <w:sz w:val="20"/>
                <w:szCs w:val="20"/>
                <w:lang w:val="en-GB"/>
              </w:rPr>
              <w:t>552.019,</w:t>
            </w:r>
            <w:r w:rsidRPr="007344C5">
              <w:rPr>
                <w:rFonts w:ascii="Open Sans" w:eastAsia="Times New Roman" w:hAnsi="Open Sans" w:cs="Arial"/>
                <w:i/>
                <w:iCs/>
                <w:sz w:val="20"/>
                <w:szCs w:val="20"/>
                <w:lang w:val="en-GB"/>
              </w:rPr>
              <w:t xml:space="preserve">18 </w:t>
            </w:r>
            <w:r w:rsidRPr="007344C5">
              <w:rPr>
                <w:rFonts w:ascii="Open Sans" w:eastAsia="Times New Roman" w:hAnsi="Open Sans" w:cs="Arial"/>
                <w:bCs/>
                <w:i/>
                <w:iCs/>
                <w:sz w:val="20"/>
                <w:szCs w:val="20"/>
              </w:rPr>
              <w:t xml:space="preserve">Euro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i/>
                <w:iCs/>
                <w:sz w:val="20"/>
                <w:szCs w:val="20"/>
              </w:rPr>
              <w:t>reprezintă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i/>
                <w:iCs/>
                <w:sz w:val="20"/>
                <w:szCs w:val="20"/>
              </w:rPr>
              <w:t>contribuția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i/>
                <w:iCs/>
                <w:sz w:val="20"/>
                <w:szCs w:val="20"/>
              </w:rPr>
              <w:t xml:space="preserve"> ENI. </w:t>
            </w:r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Din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totalul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bugetului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, </w:t>
            </w:r>
            <w:r w:rsidRPr="007344C5">
              <w:rPr>
                <w:rFonts w:ascii="Open Sans" w:hAnsi="Open Sans" w:cs="Arial"/>
                <w:bCs/>
                <w:sz w:val="20"/>
                <w:szCs w:val="20"/>
              </w:rPr>
              <w:t xml:space="preserve">392.823,17 </w:t>
            </w:r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Euro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îi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revin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Primăriei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comunei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Moftin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, 87.585,70 Euro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este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reprezintă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bugetul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orașului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Vásárosnamény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iar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132.945,78 Euro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este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valoarea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bugetului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orașului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Vyshkovo</w:t>
            </w:r>
            <w:proofErr w:type="spellEnd"/>
            <w:r w:rsidRPr="007344C5">
              <w:rPr>
                <w:rFonts w:ascii="Open Sans" w:eastAsia="Times New Roman" w:hAnsi="Open Sans" w:cs="Arial"/>
                <w:bCs/>
                <w:sz w:val="20"/>
                <w:szCs w:val="20"/>
              </w:rPr>
              <w:t>.</w:t>
            </w:r>
          </w:p>
          <w:p w14:paraId="219EC148" w14:textId="534CA9CE" w:rsidR="0075713B" w:rsidRPr="007344C5" w:rsidRDefault="0075713B" w:rsidP="0075713B">
            <w:pPr>
              <w:shd w:val="clear" w:color="auto" w:fill="FFFFFF"/>
              <w:jc w:val="both"/>
              <w:rPr>
                <w:rFonts w:ascii="Open Sans" w:eastAsia="Times New Roman" w:hAnsi="Open Sans" w:cs="Arial"/>
                <w:sz w:val="20"/>
                <w:szCs w:val="20"/>
              </w:rPr>
            </w:pPr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ab/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Rezultatele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preconizate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ale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proiectului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sunt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următoarele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: 3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unități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de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intervenție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cu capacitate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consolidată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de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prevenire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și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reacție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în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caz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de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situații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de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urgență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în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zona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programului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; </w:t>
            </w:r>
            <w:r w:rsidR="00D963E2">
              <w:rPr>
                <w:rFonts w:ascii="Open Sans" w:eastAsia="Times New Roman" w:hAnsi="Open Sans" w:cs="Arial"/>
                <w:sz w:val="20"/>
                <w:szCs w:val="20"/>
              </w:rPr>
              <w:t>2</w:t>
            </w:r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5.000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locuitori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/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cetățeni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mai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bine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protejați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; 1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rețea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transfrontalieră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de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unități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active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în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gestionarea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situațiilor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de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urgență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; 10.000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locuitori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/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cetățeni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mai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bine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informați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; 57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echipamente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pentru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situații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de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urgență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și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dezastre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achiziționate</w:t>
            </w:r>
            <w:proofErr w:type="spellEnd"/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.</w:t>
            </w:r>
          </w:p>
          <w:p w14:paraId="6269A5CB" w14:textId="77777777" w:rsidR="0075713B" w:rsidRPr="007344C5" w:rsidRDefault="0075713B" w:rsidP="0075713B">
            <w:pPr>
              <w:pStyle w:val="Listparagraf"/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Open Sans" w:eastAsia="Times New Roman" w:hAnsi="Open Sans" w:cs="Arial"/>
                <w:sz w:val="20"/>
                <w:szCs w:val="20"/>
              </w:rPr>
            </w:pPr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Concret, în cadrul proiectului, Primăria comunei Moftin va construi un Centru de instruire cu spații de depozitare și loc pentru garare de aproximativ 300 m</w:t>
            </w:r>
            <w:r w:rsidRPr="007344C5">
              <w:rPr>
                <w:rFonts w:ascii="Open Sans" w:eastAsia="Times New Roman" w:hAnsi="Open Sans" w:cs="Arial"/>
                <w:sz w:val="20"/>
                <w:szCs w:val="20"/>
                <w:vertAlign w:val="superscript"/>
              </w:rPr>
              <w:t>2</w:t>
            </w:r>
            <w:r w:rsidRPr="007344C5">
              <w:rPr>
                <w:rFonts w:ascii="Open Sans" w:eastAsia="Times New Roman" w:hAnsi="Open Sans" w:cs="Arial"/>
                <w:sz w:val="20"/>
                <w:szCs w:val="20"/>
              </w:rPr>
              <w:t>, va achiziționa o autospecială pentru stingerea incendiilor de dimensiune medie (5000 l apă și 250 l spumă), 2 motopompe profesionale și 100 m. de dig gonflabil. Vor fi organizate schimburi de experiență între parteneri, exerciții și simulări în domeniul situațiilor de urgență și campanii de conștientizare a populației și prevenție.</w:t>
            </w:r>
          </w:p>
          <w:p w14:paraId="6ADC92FC" w14:textId="4AE51CDA" w:rsidR="00CF34FB" w:rsidRPr="000C4E2C" w:rsidRDefault="0075713B" w:rsidP="007344C5">
            <w:pPr>
              <w:spacing w:after="120"/>
              <w:jc w:val="both"/>
              <w:rPr>
                <w:rFonts w:ascii="Open Sans" w:hAnsi="Open Sans" w:cs="Arial"/>
                <w:bCs/>
                <w:sz w:val="20"/>
                <w:szCs w:val="20"/>
              </w:rPr>
            </w:pPr>
            <w:r w:rsidRPr="007344C5">
              <w:rPr>
                <w:rFonts w:ascii="Open Sans" w:hAnsi="Open Sans" w:cs="Arial"/>
                <w:sz w:val="20"/>
                <w:szCs w:val="20"/>
              </w:rPr>
              <w:tab/>
            </w:r>
            <w:proofErr w:type="spellStart"/>
            <w:r w:rsidRPr="007344C5">
              <w:rPr>
                <w:rFonts w:ascii="Open Sans" w:hAnsi="Open Sans" w:cs="Arial"/>
                <w:sz w:val="20"/>
                <w:szCs w:val="20"/>
              </w:rPr>
              <w:t>Pentru</w:t>
            </w:r>
            <w:proofErr w:type="spellEnd"/>
            <w:r w:rsidRPr="007344C5">
              <w:rPr>
                <w:rFonts w:ascii="Open Sans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hAnsi="Open Sans" w:cs="Arial"/>
                <w:sz w:val="20"/>
                <w:szCs w:val="20"/>
              </w:rPr>
              <w:t>mai</w:t>
            </w:r>
            <w:proofErr w:type="spellEnd"/>
            <w:r w:rsidRPr="007344C5">
              <w:rPr>
                <w:rFonts w:ascii="Open Sans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hAnsi="Open Sans" w:cs="Arial"/>
                <w:sz w:val="20"/>
                <w:szCs w:val="20"/>
              </w:rPr>
              <w:t>multe</w:t>
            </w:r>
            <w:proofErr w:type="spellEnd"/>
            <w:r w:rsidRPr="007344C5">
              <w:rPr>
                <w:rFonts w:ascii="Open Sans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hAnsi="Open Sans" w:cs="Arial"/>
                <w:sz w:val="20"/>
                <w:szCs w:val="20"/>
              </w:rPr>
              <w:t>informaţii</w:t>
            </w:r>
            <w:proofErr w:type="spellEnd"/>
            <w:r w:rsidRPr="007344C5">
              <w:rPr>
                <w:rFonts w:ascii="Open Sans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hAnsi="Open Sans" w:cs="Arial"/>
                <w:sz w:val="20"/>
                <w:szCs w:val="20"/>
              </w:rPr>
              <w:t>despre</w:t>
            </w:r>
            <w:proofErr w:type="spellEnd"/>
            <w:r w:rsidRPr="007344C5">
              <w:rPr>
                <w:rFonts w:ascii="Open Sans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hAnsi="Open Sans" w:cs="Arial"/>
                <w:sz w:val="20"/>
                <w:szCs w:val="20"/>
              </w:rPr>
              <w:t>proiect</w:t>
            </w:r>
            <w:proofErr w:type="spellEnd"/>
            <w:r w:rsidRPr="007344C5">
              <w:rPr>
                <w:rFonts w:ascii="Open Sans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hAnsi="Open Sans" w:cs="Arial"/>
                <w:sz w:val="20"/>
                <w:szCs w:val="20"/>
              </w:rPr>
              <w:t>contactaţi</w:t>
            </w:r>
            <w:proofErr w:type="spellEnd"/>
            <w:r w:rsidRPr="007344C5">
              <w:rPr>
                <w:rFonts w:ascii="Open Sans" w:hAnsi="Open Sans" w:cs="Arial"/>
                <w:sz w:val="20"/>
                <w:szCs w:val="20"/>
              </w:rPr>
              <w:t>-ne la nr. de tel. 0745/149.294 (</w:t>
            </w:r>
            <w:proofErr w:type="spellStart"/>
            <w:r w:rsidRPr="007344C5">
              <w:rPr>
                <w:rFonts w:ascii="Open Sans" w:hAnsi="Open Sans" w:cs="Arial"/>
                <w:sz w:val="20"/>
                <w:szCs w:val="20"/>
              </w:rPr>
              <w:t>dna</w:t>
            </w:r>
            <w:proofErr w:type="spellEnd"/>
            <w:r w:rsidRPr="007344C5">
              <w:rPr>
                <w:rFonts w:ascii="Open Sans" w:hAnsi="Open Sans" w:cs="Arial"/>
                <w:sz w:val="20"/>
                <w:szCs w:val="20"/>
              </w:rPr>
              <w:t xml:space="preserve">. Ana </w:t>
            </w:r>
            <w:proofErr w:type="spellStart"/>
            <w:r w:rsidRPr="007344C5">
              <w:rPr>
                <w:rFonts w:ascii="Open Sans" w:hAnsi="Open Sans" w:cs="Arial"/>
                <w:sz w:val="20"/>
                <w:szCs w:val="20"/>
              </w:rPr>
              <w:t>Suveg</w:t>
            </w:r>
            <w:proofErr w:type="spellEnd"/>
            <w:r w:rsidRPr="007344C5">
              <w:rPr>
                <w:rFonts w:ascii="Open Sans" w:hAnsi="Open Sans" w:cs="Arial"/>
                <w:sz w:val="20"/>
                <w:szCs w:val="20"/>
              </w:rPr>
              <w:t xml:space="preserve">, Manager </w:t>
            </w:r>
            <w:proofErr w:type="spellStart"/>
            <w:r w:rsidRPr="007344C5">
              <w:rPr>
                <w:rFonts w:ascii="Open Sans" w:hAnsi="Open Sans" w:cs="Arial"/>
                <w:sz w:val="20"/>
                <w:szCs w:val="20"/>
              </w:rPr>
              <w:t>proiect</w:t>
            </w:r>
            <w:proofErr w:type="spellEnd"/>
            <w:r w:rsidRPr="007344C5">
              <w:rPr>
                <w:rFonts w:ascii="Open Sans" w:hAnsi="Open Sans" w:cs="Arial"/>
                <w:sz w:val="20"/>
                <w:szCs w:val="20"/>
              </w:rPr>
              <w:t xml:space="preserve">) </w:t>
            </w:r>
            <w:proofErr w:type="spellStart"/>
            <w:r w:rsidRPr="007344C5">
              <w:rPr>
                <w:rFonts w:ascii="Open Sans" w:hAnsi="Open Sans" w:cs="Arial"/>
                <w:sz w:val="20"/>
                <w:szCs w:val="20"/>
              </w:rPr>
              <w:t>sau</w:t>
            </w:r>
            <w:proofErr w:type="spellEnd"/>
            <w:r w:rsidRPr="007344C5">
              <w:rPr>
                <w:rFonts w:ascii="Open Sans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hAnsi="Open Sans" w:cs="Arial"/>
                <w:sz w:val="20"/>
                <w:szCs w:val="20"/>
              </w:rPr>
              <w:t>consultaţi</w:t>
            </w:r>
            <w:proofErr w:type="spellEnd"/>
            <w:r w:rsidRPr="007344C5">
              <w:rPr>
                <w:rFonts w:ascii="Open Sans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hAnsi="Open Sans" w:cs="Arial"/>
                <w:sz w:val="20"/>
                <w:szCs w:val="20"/>
              </w:rPr>
              <w:t>pagina</w:t>
            </w:r>
            <w:proofErr w:type="spellEnd"/>
            <w:r w:rsidRPr="007344C5">
              <w:rPr>
                <w:rFonts w:ascii="Open Sans" w:hAnsi="Open Sans" w:cs="Arial"/>
                <w:sz w:val="20"/>
                <w:szCs w:val="20"/>
              </w:rPr>
              <w:t xml:space="preserve"> de internet </w:t>
            </w:r>
            <w:proofErr w:type="gramStart"/>
            <w:r w:rsidRPr="007344C5">
              <w:rPr>
                <w:rFonts w:ascii="Open Sans" w:hAnsi="Open Sans" w:cs="Arial"/>
                <w:sz w:val="20"/>
                <w:szCs w:val="20"/>
              </w:rPr>
              <w:t>a</w:t>
            </w:r>
            <w:proofErr w:type="gramEnd"/>
            <w:r w:rsidRPr="007344C5">
              <w:rPr>
                <w:rFonts w:ascii="Open Sans" w:hAnsi="Open Sans" w:cs="Arial"/>
                <w:sz w:val="20"/>
                <w:szCs w:val="20"/>
              </w:rPr>
              <w:t xml:space="preserve"> </w:t>
            </w:r>
            <w:proofErr w:type="spellStart"/>
            <w:r w:rsidRPr="007344C5">
              <w:rPr>
                <w:rFonts w:ascii="Open Sans" w:hAnsi="Open Sans" w:cs="Arial"/>
                <w:sz w:val="20"/>
                <w:szCs w:val="20"/>
              </w:rPr>
              <w:t>instituției</w:t>
            </w:r>
            <w:proofErr w:type="spellEnd"/>
            <w:r w:rsidRPr="000C4E2C">
              <w:rPr>
                <w:rFonts w:ascii="Open Sans" w:hAnsi="Open Sans" w:cs="Arial"/>
                <w:sz w:val="20"/>
                <w:szCs w:val="20"/>
              </w:rPr>
              <w:t>,</w:t>
            </w:r>
            <w:r w:rsidRPr="000C4E2C">
              <w:rPr>
                <w:rFonts w:ascii="Open Sans" w:hAnsi="Open Sans"/>
                <w:sz w:val="20"/>
                <w:szCs w:val="20"/>
              </w:rPr>
              <w:t xml:space="preserve"> </w:t>
            </w:r>
            <w:hyperlink r:id="rId6" w:history="1">
              <w:r w:rsidR="007C249A" w:rsidRPr="000C4E2C">
                <w:rPr>
                  <w:rStyle w:val="Hyperlink"/>
                  <w:rFonts w:ascii="Open Sans" w:hAnsi="Open Sans" w:cs="Arial"/>
                  <w:color w:val="auto"/>
                  <w:sz w:val="20"/>
                  <w:szCs w:val="20"/>
                </w:rPr>
                <w:t>https://www.primariamoftin.ro/</w:t>
              </w:r>
            </w:hyperlink>
          </w:p>
          <w:p w14:paraId="05480D1C" w14:textId="77777777" w:rsidR="007344C5" w:rsidRPr="000C4E2C" w:rsidRDefault="009B5701" w:rsidP="007344C5">
            <w:pPr>
              <w:autoSpaceDE w:val="0"/>
              <w:autoSpaceDN w:val="0"/>
              <w:adjustRightInd w:val="0"/>
              <w:jc w:val="center"/>
              <w:rPr>
                <w:rFonts w:ascii="Open Sans" w:eastAsia="Times New Roman" w:hAnsi="Open Sans" w:cs="Calibri"/>
                <w:sz w:val="20"/>
                <w:szCs w:val="20"/>
              </w:rPr>
            </w:pPr>
            <w:hyperlink r:id="rId7" w:tgtFrame="_blank" w:history="1">
              <w:r w:rsidR="007344C5" w:rsidRPr="00C60413">
                <w:rPr>
                  <w:rFonts w:ascii="Open Sans" w:eastAsia="Times New Roman" w:hAnsi="Open Sans" w:cs="Calibri"/>
                  <w:sz w:val="20"/>
                  <w:szCs w:val="20"/>
                  <w:u w:val="single"/>
                </w:rPr>
                <w:t>www.huskroua-cbc.net</w:t>
              </w:r>
            </w:hyperlink>
          </w:p>
          <w:p w14:paraId="0A539AF3" w14:textId="5FF794D4" w:rsidR="007344C5" w:rsidRPr="007344C5" w:rsidRDefault="009B5701" w:rsidP="007344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8" w:history="1">
              <w:r w:rsidR="007344C5" w:rsidRPr="007344C5">
                <w:rPr>
                  <w:rStyle w:val="Hyperlink"/>
                  <w:rFonts w:ascii="Open Sans" w:hAnsi="Open Sans" w:cs="Open Sans"/>
                  <w:color w:val="auto"/>
                  <w:sz w:val="20"/>
                  <w:szCs w:val="20"/>
                </w:rPr>
                <w:t>www.facebook.com/huskroua.cbc</w:t>
              </w:r>
            </w:hyperlink>
          </w:p>
          <w:p w14:paraId="2415354F" w14:textId="77777777" w:rsidR="00CF34FB" w:rsidRPr="007344C5" w:rsidRDefault="00CF34FB" w:rsidP="007344C5">
            <w:pPr>
              <w:pStyle w:val="Pa15"/>
              <w:spacing w:after="120"/>
              <w:jc w:val="center"/>
              <w:rPr>
                <w:rStyle w:val="A12"/>
                <w:sz w:val="32"/>
                <w:szCs w:val="32"/>
              </w:rPr>
            </w:pPr>
            <w:r w:rsidRPr="007344C5">
              <w:rPr>
                <w:rStyle w:val="A12"/>
                <w:b/>
                <w:bCs/>
                <w:sz w:val="32"/>
                <w:szCs w:val="32"/>
              </w:rPr>
              <w:t xml:space="preserve">PARTNERSHIP </w:t>
            </w:r>
            <w:r w:rsidRPr="007344C5">
              <w:rPr>
                <w:rStyle w:val="A12"/>
                <w:sz w:val="32"/>
                <w:szCs w:val="32"/>
              </w:rPr>
              <w:t>WITHOUT BORDERS</w:t>
            </w:r>
          </w:p>
          <w:p w14:paraId="72D69D3D" w14:textId="3CF4DB55" w:rsidR="007344C5" w:rsidRPr="007344C5" w:rsidRDefault="007344C5" w:rsidP="00ED625A">
            <w:pPr>
              <w:jc w:val="center"/>
              <w:rPr>
                <w:rFonts w:ascii="Open Sans" w:hAnsi="Open Sans"/>
                <w:i/>
                <w:iCs/>
                <w:sz w:val="20"/>
                <w:szCs w:val="20"/>
              </w:rPr>
            </w:pPr>
            <w:proofErr w:type="gramStart"/>
            <w:r w:rsidRPr="007344C5">
              <w:rPr>
                <w:rFonts w:ascii="Open Sans" w:hAnsi="Open Sans"/>
                <w:i/>
                <w:iCs/>
                <w:sz w:val="20"/>
                <w:szCs w:val="20"/>
              </w:rPr>
              <w:t>”This</w:t>
            </w:r>
            <w:proofErr w:type="gramEnd"/>
            <w:r w:rsidRPr="007344C5">
              <w:rPr>
                <w:rFonts w:ascii="Open Sans" w:hAnsi="Open Sans"/>
                <w:i/>
                <w:iCs/>
                <w:sz w:val="20"/>
                <w:szCs w:val="20"/>
              </w:rPr>
              <w:t xml:space="preserve"> publication was produced with the financial support of the European Union. Its con</w:t>
            </w:r>
            <w:r w:rsidRPr="007344C5">
              <w:rPr>
                <w:rFonts w:ascii="Open Sans" w:hAnsi="Open Sans"/>
                <w:i/>
                <w:iCs/>
                <w:sz w:val="20"/>
                <w:szCs w:val="20"/>
              </w:rPr>
              <w:softHyphen/>
              <w:t xml:space="preserve">tents are the sole responsibility of Commune </w:t>
            </w:r>
            <w:proofErr w:type="spellStart"/>
            <w:r w:rsidRPr="007344C5">
              <w:rPr>
                <w:rFonts w:ascii="Open Sans" w:hAnsi="Open Sans"/>
                <w:i/>
                <w:iCs/>
                <w:sz w:val="20"/>
                <w:szCs w:val="20"/>
              </w:rPr>
              <w:t>Moftin</w:t>
            </w:r>
            <w:proofErr w:type="spellEnd"/>
            <w:r w:rsidRPr="007344C5">
              <w:rPr>
                <w:rFonts w:ascii="Open Sans" w:hAnsi="Open Sans"/>
                <w:i/>
                <w:iCs/>
                <w:sz w:val="20"/>
                <w:szCs w:val="20"/>
              </w:rPr>
              <w:t xml:space="preserve"> and do not necessarily reflect the views of the European Union”.</w:t>
            </w:r>
          </w:p>
        </w:tc>
      </w:tr>
      <w:tr w:rsidR="0075713B" w14:paraId="5545AB0F" w14:textId="77777777" w:rsidTr="008F5F0C">
        <w:trPr>
          <w:jc w:val="center"/>
        </w:trPr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9FAF55E" w14:textId="77777777" w:rsidR="0075713B" w:rsidRPr="004E6C6E" w:rsidRDefault="0075713B" w:rsidP="002F4689">
            <w:pPr>
              <w:pStyle w:val="Default"/>
              <w:rPr>
                <w:sz w:val="10"/>
                <w:szCs w:val="10"/>
              </w:rPr>
            </w:pPr>
          </w:p>
          <w:p w14:paraId="2BA417A7" w14:textId="77777777" w:rsidR="0075713B" w:rsidRPr="004E6C6E" w:rsidRDefault="0075713B" w:rsidP="002F4689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 w:rsidRPr="004E6C6E">
              <w:rPr>
                <w:rFonts w:cstheme="minorBidi"/>
                <w:noProof/>
                <w:color w:val="auto"/>
                <w:sz w:val="22"/>
                <w:szCs w:val="22"/>
              </w:rPr>
              <w:lastRenderedPageBreak/>
              <w:drawing>
                <wp:inline distT="0" distB="0" distL="0" distR="0" wp14:anchorId="6CC042DA" wp14:editId="26D18E52">
                  <wp:extent cx="394970" cy="324009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99" cy="37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1921C07" w14:textId="77777777" w:rsidR="0075713B" w:rsidRPr="0075713B" w:rsidRDefault="0075713B" w:rsidP="002F4689">
            <w:pPr>
              <w:pStyle w:val="Default"/>
              <w:rPr>
                <w:rFonts w:cstheme="minorBidi"/>
                <w:color w:val="auto"/>
                <w:sz w:val="10"/>
                <w:szCs w:val="10"/>
              </w:rPr>
            </w:pPr>
          </w:p>
          <w:p w14:paraId="262ADBF9" w14:textId="04339E9D" w:rsidR="0075713B" w:rsidRPr="0075713B" w:rsidRDefault="0075713B" w:rsidP="002F4689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CF34FB">
              <w:rPr>
                <w:rFonts w:cstheme="minorBidi"/>
                <w:color w:val="auto"/>
                <w:sz w:val="22"/>
                <w:szCs w:val="22"/>
              </w:rPr>
              <w:lastRenderedPageBreak/>
              <w:t xml:space="preserve">The project </w:t>
            </w:r>
            <w:r w:rsidR="00DE6D4E">
              <w:rPr>
                <w:rFonts w:cstheme="minorBidi"/>
                <w:color w:val="auto"/>
                <w:sz w:val="22"/>
                <w:szCs w:val="22"/>
              </w:rPr>
              <w:t>is</w:t>
            </w:r>
            <w:r w:rsidRPr="00CF34FB">
              <w:rPr>
                <w:rFonts w:cstheme="minorBidi"/>
                <w:color w:val="auto"/>
                <w:sz w:val="22"/>
                <w:szCs w:val="22"/>
              </w:rPr>
              <w:t xml:space="preserve"> co-financed by the European Union</w:t>
            </w:r>
            <w:r>
              <w:rPr>
                <w:rFonts w:cstheme="minorBidi"/>
                <w:color w:val="auto"/>
                <w:sz w:val="22"/>
                <w:szCs w:val="22"/>
              </w:rPr>
              <w:t>.</w:t>
            </w:r>
          </w:p>
        </w:tc>
      </w:tr>
    </w:tbl>
    <w:p w14:paraId="1466A11A" w14:textId="39E96C1B" w:rsidR="00581396" w:rsidRPr="00581396" w:rsidRDefault="00581396">
      <w:pPr>
        <w:rPr>
          <w:lang w:val="ro-RO"/>
        </w:rPr>
      </w:pPr>
    </w:p>
    <w:sectPr w:rsidR="00581396" w:rsidRPr="00581396" w:rsidSect="00CF34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AD"/>
    <w:rsid w:val="000C4E2C"/>
    <w:rsid w:val="001244D1"/>
    <w:rsid w:val="00217151"/>
    <w:rsid w:val="00581396"/>
    <w:rsid w:val="006F1BF1"/>
    <w:rsid w:val="007344C5"/>
    <w:rsid w:val="0075713B"/>
    <w:rsid w:val="007C249A"/>
    <w:rsid w:val="0088177F"/>
    <w:rsid w:val="008F5F0C"/>
    <w:rsid w:val="009B5701"/>
    <w:rsid w:val="00B366A8"/>
    <w:rsid w:val="00CF34FB"/>
    <w:rsid w:val="00D963E2"/>
    <w:rsid w:val="00DE6D4E"/>
    <w:rsid w:val="00E531AD"/>
    <w:rsid w:val="00ED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B64E"/>
  <w15:chartTrackingRefBased/>
  <w15:docId w15:val="{2A790B7B-12A6-4BB9-B04A-20434A41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F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34F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CF34FB"/>
    <w:pPr>
      <w:spacing w:line="241" w:lineRule="atLeast"/>
    </w:pPr>
    <w:rPr>
      <w:rFonts w:cstheme="minorBidi"/>
      <w:color w:val="auto"/>
    </w:rPr>
  </w:style>
  <w:style w:type="character" w:customStyle="1" w:styleId="A12">
    <w:name w:val="A12"/>
    <w:uiPriority w:val="99"/>
    <w:rsid w:val="00CF34FB"/>
    <w:rPr>
      <w:rFonts w:cs="Open Sans"/>
      <w:color w:val="000000"/>
      <w:sz w:val="56"/>
      <w:szCs w:val="56"/>
    </w:rPr>
  </w:style>
  <w:style w:type="paragraph" w:styleId="Listparagraf">
    <w:name w:val="List Paragraph"/>
    <w:basedOn w:val="Normal"/>
    <w:uiPriority w:val="34"/>
    <w:qFormat/>
    <w:rsid w:val="0075713B"/>
    <w:pPr>
      <w:spacing w:after="200" w:line="276" w:lineRule="auto"/>
      <w:ind w:left="720"/>
      <w:contextualSpacing/>
    </w:pPr>
    <w:rPr>
      <w:rFonts w:eastAsiaTheme="minorEastAsia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7C249A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C2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huskroua.cb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uskroua-cbc.ne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imariamoftin.ro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64221-DD6E-4943-992E-8EBA5FFD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Ana</cp:lastModifiedBy>
  <cp:revision>2</cp:revision>
  <cp:lastPrinted>2021-07-27T07:11:00Z</cp:lastPrinted>
  <dcterms:created xsi:type="dcterms:W3CDTF">2022-03-23T03:25:00Z</dcterms:created>
  <dcterms:modified xsi:type="dcterms:W3CDTF">2022-03-23T03:25:00Z</dcterms:modified>
</cp:coreProperties>
</file>